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Yu Gothic" w:hAnsi="Yu Gothic"/>
          <w:b/>
          <w:color w:val="1F4E78"/>
          <w:sz w:val="40"/>
        </w:rPr>
        <w:t>社内AI導入・活用推進ワークフロー</w:t>
      </w:r>
    </w:p>
    <w:p>
      <w:pPr>
        <w:spacing w:after="360"/>
      </w:pPr>
      <w:r>
        <w:rPr>
          <w:rFonts w:ascii="Yu Gothic" w:hAnsi="Yu Gothic"/>
          <w:color w:val="505050"/>
          <w:sz w:val="21"/>
        </w:rPr>
        <w:t>AIの社内利用促進にあたり、業務効率化とセキュリティ確保を両立するため、以下のステップに従って導入・運用を推進します。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01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AI推進委員の選定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小規模企業であれば全社で数名、中〜大規模企業であれば事業部ごとに1名程度のAI推進委員を選任し、「AI推進委員会（タスクフォース）」を設置する。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推進委員は各現場の業務課題の吸い上げと、安全な利用ルールの周知・定着を主導する。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02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業務の洗い出しと活用領域の選定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各部署から定型業務、文章作成、データ分析、情報検索などの候補タスクをヒアリング・棚卸しする。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セキュリティリスクが低く、即効性・費用対効果が出やすい領域（低リスク・高効果）から優先順位をつける。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03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利用方針およびセキュリティガイドラインの策定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機密情報・個人情報・顧客データの入力可否、著作権や権利侵害防止に関する基本ルールを明文化する。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入力データがモデルの再学習に利用されないセキュアな環境（法人向け・エンタープライズ契約プラン等）を選定・契約する。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04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パイロット運用（スモールスタート）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AI推進委員が中心となり、特定業務や限定されたプロジェクトチームにおいてテスト運用を実施する。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業務削減工数などの効果測定を行うとともに、ガイドラインの遵守状況や現場の課題をモニタリングする。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05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全社展開と社内リテラシー研修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安全かつ効果的なプロンプト作成例や、規約・禁止事項を周知する全社向け研修を実施する。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現場ですぐに実務に活かせる「業務別プロンプトテンプレート集」を整備・共有する。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632"/>
      </w:tblGrid>
      <w:tr>
        <w:tc>
          <w:tcPr>
            <w:tcW w:type="dxa" w:w="4680"/>
            <w:shd w:val="clear" w:color="auto" w:fill="1F4E78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Yu Gothic" w:hAnsi="Yu Gothic"/>
                <w:b/>
                <w:color w:val="FFFFFF"/>
                <w:sz w:val="22"/>
              </w:rPr>
              <w:t>Step 06</w:t>
            </w:r>
          </w:p>
        </w:tc>
        <w:tc>
          <w:tcPr>
            <w:tcW w:type="dxa" w:w="4680"/>
            <w:shd w:val="clear" w:color="auto" w:fill="F2F5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Yu Gothic" w:hAnsi="Yu Gothic"/>
                <w:b/>
                <w:color w:val="1F4E78"/>
                <w:sz w:val="23"/>
              </w:rPr>
              <w:t>□ 定期レビューと運用改善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利用ログの定期監査を実施し、情報漏洩リスクや不適切な利用兆候がないかを定期的に確認する。</w:t>
            </w:r>
          </w:p>
          <w:p>
            <w:pPr>
              <w:spacing w:after="60"/>
              <w:ind w:left="288"/>
            </w:pPr>
            <w:r>
              <w:rPr>
                <w:rFonts w:ascii="Yu Gothic" w:hAnsi="Yu Gothic"/>
                <w:color w:val="323232"/>
                <w:sz w:val="19"/>
              </w:rPr>
              <w:t>・</w:t>
            </w:r>
            <w:r>
              <w:rPr>
                <w:rFonts w:ascii="Yu Gothic" w:hAnsi="Yu Gothic"/>
                <w:color w:val="323232"/>
                <w:sz w:val="19"/>
              </w:rPr>
              <w:t>AIモデルのアップデートや法規制・セキュリティ環境の変化に合わせて、ガイドラインと活用手順を継続的に見直す。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