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pPr>
      <w:r>
        <w:rPr>
          <w:rFonts w:ascii="Yu Gothic" w:hAnsi="Yu Gothic"/>
          <w:b/>
          <w:color w:val="C00000"/>
          <w:sz w:val="36"/>
        </w:rPr>
        <w:t>カスタマーハラスメント（カスハラ）対策推進ワークフロー</w:t>
      </w:r>
    </w:p>
    <w:p>
      <w:pPr>
        <w:spacing w:after="320"/>
      </w:pPr>
      <w:r>
        <w:rPr>
          <w:rFonts w:ascii="Yu Gothic" w:hAnsi="Yu Gothic"/>
          <w:color w:val="505050"/>
          <w:sz w:val="20"/>
        </w:rPr>
        <w:t>カスタマーハラスメント対策の法制化・義務化に対応し、従業員の安全確保および健全な就業環境を維持するため、以下のステップに従って体制構築と現場運用の整備を推進します。</w:t>
      </w: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01</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カスハラ対策委員の選定と体制構築</w:t>
            </w:r>
          </w:p>
          <w:p>
            <w:pPr>
              <w:spacing w:after="40"/>
              <w:ind w:left="259"/>
            </w:pPr>
            <w:r>
              <w:rPr>
                <w:rFonts w:ascii="Yu Gothic" w:hAnsi="Yu Gothic"/>
                <w:color w:val="323232"/>
                <w:sz w:val="19"/>
              </w:rPr>
              <w:t>・</w:t>
            </w:r>
            <w:r>
              <w:rPr>
                <w:rFonts w:ascii="Yu Gothic" w:hAnsi="Yu Gothic"/>
                <w:color w:val="323232"/>
                <w:sz w:val="19"/>
              </w:rPr>
              <w:t>小規模企業であれば全社で数名、中〜大規模企業であれば事業部ごとに1名程度のカスハラ対策委員を選定し、「カスハラ対策委員会」を設置する。</w:t>
            </w:r>
          </w:p>
          <w:p>
            <w:pPr>
              <w:spacing w:after="40"/>
              <w:ind w:left="259"/>
            </w:pPr>
            <w:r>
              <w:rPr>
                <w:rFonts w:ascii="Yu Gothic" w:hAnsi="Yu Gothic"/>
                <w:color w:val="323232"/>
                <w:sz w:val="19"/>
              </w:rPr>
              <w:t>・</w:t>
            </w:r>
            <w:r>
              <w:rPr>
                <w:rFonts w:ascii="Yu Gothic" w:hAnsi="Yu Gothic"/>
                <w:color w:val="323232"/>
                <w:sz w:val="19"/>
              </w:rPr>
              <w:t>人事・労務担当、法務（または顧問弁護士）、現場責任者等を含め、迅速に状況判断・エスカレーション連携ができる体制を整える。</w:t>
            </w:r>
          </w:p>
        </w:tc>
      </w:tr>
    </w:tbl>
    <w:p>
      <w:pPr>
        <w:spacing w:after="80"/>
      </w:pP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02</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過去事例の洗い出しとリスク評価（実態把握）</w:t>
            </w:r>
          </w:p>
          <w:p>
            <w:pPr>
              <w:spacing w:after="40"/>
              <w:ind w:left="259"/>
            </w:pPr>
            <w:r>
              <w:rPr>
                <w:rFonts w:ascii="Yu Gothic" w:hAnsi="Yu Gothic"/>
                <w:color w:val="323232"/>
                <w:sz w:val="19"/>
              </w:rPr>
              <w:t>・</w:t>
            </w:r>
            <w:r>
              <w:rPr>
                <w:rFonts w:ascii="Yu Gothic" w:hAnsi="Yu Gothic"/>
                <w:color w:val="323232"/>
                <w:sz w:val="19"/>
              </w:rPr>
              <w:t>現場で実際に発生したクレーム、暴言、過剰要求、長時間拘束、威嚇等の過去事例をヒアリング・収集する。</w:t>
            </w:r>
          </w:p>
          <w:p>
            <w:pPr>
              <w:spacing w:after="40"/>
              <w:ind w:left="259"/>
            </w:pPr>
            <w:r>
              <w:rPr>
                <w:rFonts w:ascii="Yu Gothic" w:hAnsi="Yu Gothic"/>
                <w:color w:val="323232"/>
                <w:sz w:val="19"/>
              </w:rPr>
              <w:t>・</w:t>
            </w:r>
            <w:r>
              <w:rPr>
                <w:rFonts w:ascii="Yu Gothic" w:hAnsi="Yu Gothic"/>
                <w:color w:val="323232"/>
                <w:sz w:val="19"/>
              </w:rPr>
              <w:t>自社の業務特性を踏まえ、「正当なクレーム」と「カスハラ（不当・悪質な要求）」の境界線を明確にする判断基準を整理・言語化する。</w:t>
            </w:r>
          </w:p>
        </w:tc>
      </w:tr>
    </w:tbl>
    <w:p>
      <w:pPr>
        <w:spacing w:after="80"/>
      </w:pP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03</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基本方針の策定と社内外への表明</w:t>
            </w:r>
          </w:p>
          <w:p>
            <w:pPr>
              <w:spacing w:after="40"/>
              <w:ind w:left="259"/>
            </w:pPr>
            <w:r>
              <w:rPr>
                <w:rFonts w:ascii="Yu Gothic" w:hAnsi="Yu Gothic"/>
                <w:color w:val="323232"/>
                <w:sz w:val="19"/>
              </w:rPr>
              <w:t>・</w:t>
            </w:r>
            <w:r>
              <w:rPr>
                <w:rFonts w:ascii="Yu Gothic" w:hAnsi="Yu Gothic"/>
                <w:color w:val="323232"/>
                <w:sz w:val="19"/>
              </w:rPr>
              <w:t>「従業員の尊厳と心身の安全を最優先とする」トップメッセージおよび「カスハラ対応基本方針」を策定する。</w:t>
            </w:r>
          </w:p>
          <w:p>
            <w:pPr>
              <w:spacing w:after="40"/>
              <w:ind w:left="259"/>
            </w:pPr>
            <w:r>
              <w:rPr>
                <w:rFonts w:ascii="Yu Gothic" w:hAnsi="Yu Gothic"/>
                <w:color w:val="323232"/>
                <w:sz w:val="19"/>
              </w:rPr>
              <w:t>・</w:t>
            </w:r>
            <w:r>
              <w:rPr>
                <w:rFonts w:ascii="Yu Gothic" w:hAnsi="Yu Gothic"/>
                <w:color w:val="323232"/>
                <w:sz w:val="19"/>
              </w:rPr>
              <w:t>社内への周知徹底を図るとともに、自社Webサイトや店舗・窓口等に対外方針（ポスター掲示、利用規約の改定等）を公開し、悪質クレームへの抑止力を高める。</w:t>
            </w:r>
          </w:p>
        </w:tc>
      </w:tr>
    </w:tbl>
    <w:p>
      <w:pPr>
        <w:spacing w:after="80"/>
      </w:pP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04</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現場対応マニュアルおよびエスカレーションフローの作成</w:t>
            </w:r>
          </w:p>
          <w:p>
            <w:pPr>
              <w:spacing w:after="40"/>
              <w:ind w:left="259"/>
            </w:pPr>
            <w:r>
              <w:rPr>
                <w:rFonts w:ascii="Yu Gothic" w:hAnsi="Yu Gothic"/>
                <w:color w:val="323232"/>
                <w:sz w:val="19"/>
              </w:rPr>
              <w:t>・</w:t>
            </w:r>
            <w:r>
              <w:rPr>
                <w:rFonts w:ascii="Yu Gothic" w:hAnsi="Yu Gothic"/>
                <w:color w:val="323232"/>
                <w:sz w:val="19"/>
              </w:rPr>
              <w:t>悪質な言動に対する初期対応手順（客観的記録・通話録音、複数名での対応、警告と毅然とした対応打ち切り手順等）をマニュアル化する。</w:t>
            </w:r>
          </w:p>
          <w:p>
            <w:pPr>
              <w:spacing w:after="40"/>
              <w:ind w:left="259"/>
            </w:pPr>
            <w:r>
              <w:rPr>
                <w:rFonts w:ascii="Yu Gothic" w:hAnsi="Yu Gothic"/>
                <w:color w:val="323232"/>
                <w:sz w:val="19"/>
              </w:rPr>
              <w:t>・</w:t>
            </w:r>
            <w:r>
              <w:rPr>
                <w:rFonts w:ascii="Yu Gothic" w:hAnsi="Yu Gothic"/>
                <w:color w:val="323232"/>
                <w:sz w:val="19"/>
              </w:rPr>
              <w:t>現場担当者が一人で抱え込まず、直ちに管理者・対策委員、必要に応じて警察や弁護士へ引き継げる緊急エスカレーション基準を整備する。</w:t>
            </w:r>
          </w:p>
        </w:tc>
      </w:tr>
    </w:tbl>
    <w:p>
      <w:pPr>
        <w:spacing w:after="80"/>
      </w:pP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05</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相談窓口の設置と被害従業員のケア体制構築</w:t>
            </w:r>
          </w:p>
          <w:p>
            <w:pPr>
              <w:spacing w:after="40"/>
              <w:ind w:left="259"/>
            </w:pPr>
            <w:r>
              <w:rPr>
                <w:rFonts w:ascii="Yu Gothic" w:hAnsi="Yu Gothic"/>
                <w:color w:val="323232"/>
                <w:sz w:val="19"/>
              </w:rPr>
              <w:t>・</w:t>
            </w:r>
            <w:r>
              <w:rPr>
                <w:rFonts w:ascii="Yu Gothic" w:hAnsi="Yu Gothic"/>
                <w:color w:val="323232"/>
                <w:sz w:val="19"/>
              </w:rPr>
              <w:t>従業員が不当な要求やハラスメントを受けた際に、プライバシーを守って迅速に申告・相談できる専用窓口（社内・社外）を設置する。</w:t>
            </w:r>
          </w:p>
          <w:p>
            <w:pPr>
              <w:spacing w:after="40"/>
              <w:ind w:left="259"/>
            </w:pPr>
            <w:r>
              <w:rPr>
                <w:rFonts w:ascii="Yu Gothic" w:hAnsi="Yu Gothic"/>
                <w:color w:val="323232"/>
                <w:sz w:val="19"/>
              </w:rPr>
              <w:t>・</w:t>
            </w:r>
            <w:r>
              <w:rPr>
                <w:rFonts w:ascii="Yu Gothic" w:hAnsi="Yu Gothic"/>
                <w:color w:val="323232"/>
                <w:sz w:val="19"/>
              </w:rPr>
              <w:t>被害を受けた従業員のメンタルヘルスケア、産業医面談、心理的安全の確保、必要に応じた配置転換や特別休暇などの保護・救済措置を制度化する。</w:t>
            </w:r>
          </w:p>
        </w:tc>
      </w:tr>
    </w:tbl>
    <w:p>
      <w:pPr>
        <w:spacing w:after="80"/>
      </w:pP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06</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社内研修・ロールプレイングの実施</w:t>
            </w:r>
          </w:p>
          <w:p>
            <w:pPr>
              <w:spacing w:after="40"/>
              <w:ind w:left="259"/>
            </w:pPr>
            <w:r>
              <w:rPr>
                <w:rFonts w:ascii="Yu Gothic" w:hAnsi="Yu Gothic"/>
                <w:color w:val="323232"/>
                <w:sz w:val="19"/>
              </w:rPr>
              <w:t>・</w:t>
            </w:r>
            <w:r>
              <w:rPr>
                <w:rFonts w:ascii="Yu Gothic" w:hAnsi="Yu Gothic"/>
                <w:color w:val="323232"/>
                <w:sz w:val="19"/>
              </w:rPr>
              <w:t>全従業員向けに、カスハラの定義や基本方針、企業の姿勢を周知徹底するリテラシー研修を実施する。</w:t>
            </w:r>
          </w:p>
          <w:p>
            <w:pPr>
              <w:spacing w:after="40"/>
              <w:ind w:left="259"/>
            </w:pPr>
            <w:r>
              <w:rPr>
                <w:rFonts w:ascii="Yu Gothic" w:hAnsi="Yu Gothic"/>
                <w:color w:val="323232"/>
                <w:sz w:val="19"/>
              </w:rPr>
              <w:t>・</w:t>
            </w:r>
            <w:r>
              <w:rPr>
                <w:rFonts w:ascii="Yu Gothic" w:hAnsi="Yu Gothic"/>
                <w:color w:val="323232"/>
                <w:sz w:val="19"/>
              </w:rPr>
              <w:t>顧客接点を持つ現場担当者や管理職向けに、実際のトラブルを想定した毅然とした切り返しや対応打ち切りのロールプレイング（模擬訓練）を実施する。</w:t>
            </w:r>
          </w:p>
        </w:tc>
      </w:tr>
    </w:tbl>
    <w:p>
      <w:pPr>
        <w:spacing w:after="80"/>
      </w:pPr>
    </w:p>
    <w:tbl>
      <w:tblPr>
        <w:tblW w:type="auto" w:w="0"/>
        <w:jc w:val="center"/>
        <w:tblLayout w:type="fixed"/>
        <w:tblLook w:firstColumn="1" w:firstRow="1" w:lastColumn="0" w:lastRow="0" w:noHBand="0" w:noVBand="1" w:val="04A0"/>
      </w:tblPr>
      <w:tblGrid>
        <w:gridCol w:w="1728"/>
        <w:gridCol w:w="7632"/>
      </w:tblGrid>
      <w:tr>
        <w:tc>
          <w:tcPr>
            <w:tcW w:type="dxa" w:w="4680"/>
            <w:shd w:val="clear" w:color="auto" w:fill="C00000"/>
            <w:tcMar>
              <w:top w:w="120" w:type="dxa"/>
              <w:bottom w:w="120" w:type="dxa"/>
              <w:left w:w="120" w:type="dxa"/>
              <w:right w:w="120" w:type="dxa"/>
            </w:tcMar>
          </w:tcPr>
          <w:p>
            <w:pPr>
              <w:jc w:val="center"/>
            </w:pPr>
            <w:r>
              <w:rPr>
                <w:rFonts w:ascii="Yu Gothic" w:hAnsi="Yu Gothic"/>
                <w:b/>
                <w:color w:val="FFFFFF"/>
                <w:sz w:val="22"/>
              </w:rPr>
              <w:t>Step 07</w:t>
            </w:r>
          </w:p>
        </w:tc>
        <w:tc>
          <w:tcPr>
            <w:tcW w:type="dxa" w:w="4680"/>
            <w:shd w:val="clear" w:color="auto" w:fill="FDF6F6"/>
            <w:tcMar>
              <w:top w:w="120" w:type="dxa"/>
              <w:bottom w:w="120" w:type="dxa"/>
              <w:left w:w="160" w:type="dxa"/>
              <w:right w:w="160" w:type="dxa"/>
            </w:tcMar>
          </w:tcPr>
          <w:p>
            <w:pPr>
              <w:spacing w:after="60"/>
            </w:pPr>
            <w:r>
              <w:rPr>
                <w:rFonts w:ascii="Yu Gothic" w:hAnsi="Yu Gothic"/>
                <w:b/>
                <w:color w:val="C00000"/>
                <w:sz w:val="22"/>
              </w:rPr>
              <w:t>□ 定期レビューと運用の見直し</w:t>
            </w:r>
          </w:p>
          <w:p>
            <w:pPr>
              <w:spacing w:after="40"/>
              <w:ind w:left="259"/>
            </w:pPr>
            <w:r>
              <w:rPr>
                <w:rFonts w:ascii="Yu Gothic" w:hAnsi="Yu Gothic"/>
                <w:color w:val="323232"/>
                <w:sz w:val="19"/>
              </w:rPr>
              <w:t>・</w:t>
            </w:r>
            <w:r>
              <w:rPr>
                <w:rFonts w:ascii="Yu Gothic" w:hAnsi="Yu Gothic"/>
                <w:color w:val="323232"/>
                <w:sz w:val="19"/>
              </w:rPr>
              <w:t>発生件数や対応事例、相談窓口への申告内容を定期的に集計・分析し、対策の有効性を検証する。</w:t>
            </w:r>
          </w:p>
          <w:p>
            <w:pPr>
              <w:spacing w:after="40"/>
              <w:ind w:left="259"/>
            </w:pPr>
            <w:r>
              <w:rPr>
                <w:rFonts w:ascii="Yu Gothic" w:hAnsi="Yu Gothic"/>
                <w:color w:val="323232"/>
                <w:sz w:val="19"/>
              </w:rPr>
              <w:t>・</w:t>
            </w:r>
            <w:r>
              <w:rPr>
                <w:rFonts w:ascii="Yu Gothic" w:hAnsi="Yu Gothic"/>
                <w:color w:val="323232"/>
                <w:sz w:val="19"/>
              </w:rPr>
              <w:t>SNS・インターネット上での誹謗中傷や晒し行為など新たなリスク手口や、法改正の最新動向に合わせてマニュアル・運用体制を継続的にアップデートする。</w:t>
            </w:r>
          </w:p>
        </w:tc>
      </w:tr>
    </w:tbl>
    <w:p>
      <w:pPr>
        <w:spacing w:after="80"/>
      </w:pP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